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73" w:type="dxa"/>
        <w:jc w:val="center"/>
        <w:tblLayout w:type="fixed"/>
        <w:tblLook w:val="0000" w:firstRow="0" w:lastRow="0" w:firstColumn="0" w:lastColumn="0" w:noHBand="0" w:noVBand="0"/>
      </w:tblPr>
      <w:tblGrid>
        <w:gridCol w:w="6140"/>
        <w:gridCol w:w="5033"/>
      </w:tblGrid>
      <w:tr w:rsidR="008F537B" w:rsidRPr="00EA6F02" w:rsidTr="007F4416">
        <w:trPr>
          <w:jc w:val="center"/>
        </w:trPr>
        <w:tc>
          <w:tcPr>
            <w:tcW w:w="6140" w:type="dxa"/>
          </w:tcPr>
          <w:p w:rsidR="008F537B" w:rsidRPr="00EA6F02" w:rsidRDefault="008F537B" w:rsidP="00FB2670">
            <w:pPr>
              <w:jc w:val="center"/>
              <w:rPr>
                <w:sz w:val="22"/>
                <w:szCs w:val="22"/>
              </w:rPr>
            </w:pPr>
            <w:r w:rsidRPr="00EA6F02">
              <w:rPr>
                <w:sz w:val="22"/>
                <w:szCs w:val="22"/>
              </w:rPr>
              <w:t xml:space="preserve">  TỔNG CÔNG TY </w:t>
            </w:r>
          </w:p>
          <w:p w:rsidR="008F537B" w:rsidRPr="00EA6F02" w:rsidRDefault="008F537B" w:rsidP="00FB2670">
            <w:pPr>
              <w:jc w:val="center"/>
              <w:rPr>
                <w:sz w:val="22"/>
                <w:szCs w:val="22"/>
              </w:rPr>
            </w:pPr>
            <w:r w:rsidRPr="00EA6F02">
              <w:rPr>
                <w:sz w:val="22"/>
                <w:szCs w:val="22"/>
              </w:rPr>
              <w:t xml:space="preserve">ĐẦU TƯ PHÁT TRIỂN NHÀ VÀ ĐÔ THỊ </w:t>
            </w:r>
          </w:p>
          <w:p w:rsidR="008F537B" w:rsidRPr="00753E08" w:rsidRDefault="00FB2670" w:rsidP="00FB2670">
            <w:pPr>
              <w:jc w:val="center"/>
              <w:rPr>
                <w:b/>
                <w:bCs/>
                <w:sz w:val="24"/>
                <w:szCs w:val="24"/>
              </w:rPr>
            </w:pPr>
            <w:r w:rsidRPr="00EA6F02">
              <w:rPr>
                <w:noProof/>
              </w:rPr>
              <mc:AlternateContent>
                <mc:Choice Requires="wps">
                  <w:drawing>
                    <wp:anchor distT="0" distB="0" distL="114300" distR="114300" simplePos="0" relativeHeight="251660288" behindDoc="0" locked="0" layoutInCell="1" allowOverlap="1" wp14:anchorId="4532871F" wp14:editId="3E7687B4">
                      <wp:simplePos x="0" y="0"/>
                      <wp:positionH relativeFrom="column">
                        <wp:posOffset>904875</wp:posOffset>
                      </wp:positionH>
                      <wp:positionV relativeFrom="paragraph">
                        <wp:posOffset>183515</wp:posOffset>
                      </wp:positionV>
                      <wp:extent cx="2135505" cy="0"/>
                      <wp:effectExtent l="7620"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E241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4.45pt" to="23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y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49Taf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"/>
                  </w:pict>
                </mc:Fallback>
              </mc:AlternateContent>
            </w:r>
            <w:r w:rsidR="008F537B" w:rsidRPr="00EA6F02">
              <w:rPr>
                <w:b/>
                <w:bCs/>
                <w:sz w:val="22"/>
                <w:szCs w:val="22"/>
              </w:rPr>
              <w:t xml:space="preserve"> </w:t>
            </w:r>
            <w:r w:rsidR="008F537B" w:rsidRPr="00753E08">
              <w:rPr>
                <w:b/>
                <w:bCs/>
                <w:sz w:val="24"/>
                <w:szCs w:val="24"/>
              </w:rPr>
              <w:t>CÔNG TY CỔ PHẦN ĐẦU TƯ VÀ XÂY DỰNG HUD3</w:t>
            </w:r>
          </w:p>
        </w:tc>
        <w:tc>
          <w:tcPr>
            <w:tcW w:w="5033" w:type="dxa"/>
          </w:tcPr>
          <w:p w:rsidR="008F537B" w:rsidRPr="00753E08" w:rsidRDefault="008F537B" w:rsidP="00FB2670">
            <w:pPr>
              <w:pStyle w:val="BodyText2"/>
              <w:rPr>
                <w:rFonts w:ascii="Times New Roman" w:hAnsi="Times New Roman"/>
                <w:b/>
                <w:i w:val="0"/>
                <w:iCs/>
                <w:sz w:val="22"/>
                <w:szCs w:val="24"/>
              </w:rPr>
            </w:pPr>
            <w:r w:rsidRPr="00753E08">
              <w:rPr>
                <w:rFonts w:ascii="Times New Roman" w:hAnsi="Times New Roman"/>
                <w:b/>
                <w:i w:val="0"/>
                <w:iCs/>
                <w:sz w:val="22"/>
                <w:szCs w:val="24"/>
              </w:rPr>
              <w:t xml:space="preserve">CỘNG HOÀ XÃ HỘI CHỦ NGHĨA VIỆT </w:t>
            </w:r>
            <w:smartTag w:uri="urn:schemas-microsoft-com:office:smarttags" w:element="place">
              <w:smartTag w:uri="urn:schemas-microsoft-com:office:smarttags" w:element="country-region">
                <w:r w:rsidRPr="00753E08">
                  <w:rPr>
                    <w:rFonts w:ascii="Times New Roman" w:hAnsi="Times New Roman"/>
                    <w:b/>
                    <w:i w:val="0"/>
                    <w:iCs/>
                    <w:sz w:val="22"/>
                    <w:szCs w:val="24"/>
                  </w:rPr>
                  <w:t>NAM</w:t>
                </w:r>
              </w:smartTag>
            </w:smartTag>
          </w:p>
          <w:p w:rsidR="008F537B" w:rsidRPr="00753E08" w:rsidRDefault="008F537B" w:rsidP="00FB2670">
            <w:pPr>
              <w:jc w:val="center"/>
              <w:rPr>
                <w:b/>
                <w:bCs/>
                <w:sz w:val="24"/>
              </w:rPr>
            </w:pPr>
            <w:r w:rsidRPr="00753E08">
              <w:rPr>
                <w:b/>
                <w:bCs/>
                <w:sz w:val="24"/>
              </w:rPr>
              <w:t>Độc lập - Tự do - Hạnh phúc</w:t>
            </w:r>
          </w:p>
          <w:p w:rsidR="008F537B" w:rsidRPr="00EA6F02" w:rsidRDefault="008F537B" w:rsidP="00FB2670">
            <w:pPr>
              <w:jc w:val="center"/>
            </w:pPr>
            <w:r w:rsidRPr="00EA6F02">
              <w:rPr>
                <w:noProof/>
              </w:rPr>
              <mc:AlternateContent>
                <mc:Choice Requires="wps">
                  <w:drawing>
                    <wp:anchor distT="0" distB="0" distL="114300" distR="114300" simplePos="0" relativeHeight="251659264" behindDoc="0" locked="0" layoutInCell="1" allowOverlap="1" wp14:anchorId="7F985757" wp14:editId="125B9F1E">
                      <wp:simplePos x="0" y="0"/>
                      <wp:positionH relativeFrom="column">
                        <wp:posOffset>735965</wp:posOffset>
                      </wp:positionH>
                      <wp:positionV relativeFrom="paragraph">
                        <wp:posOffset>121285</wp:posOffset>
                      </wp:positionV>
                      <wp:extent cx="1591945" cy="0"/>
                      <wp:effectExtent l="13335"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426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9.55pt" to="183.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"/>
                  </w:pict>
                </mc:Fallback>
              </mc:AlternateContent>
            </w:r>
          </w:p>
        </w:tc>
      </w:tr>
      <w:tr w:rsidR="008F537B" w:rsidRPr="00EA6F02" w:rsidTr="007F4416">
        <w:trPr>
          <w:jc w:val="center"/>
        </w:trPr>
        <w:tc>
          <w:tcPr>
            <w:tcW w:w="6140" w:type="dxa"/>
          </w:tcPr>
          <w:p w:rsidR="008F537B" w:rsidRPr="00EA6F02" w:rsidRDefault="008F537B" w:rsidP="005256B1">
            <w:pPr>
              <w:jc w:val="center"/>
            </w:pPr>
            <w:r w:rsidRPr="00475A1D">
              <w:rPr>
                <w:color w:val="000000"/>
              </w:rPr>
              <w:t xml:space="preserve">Số: </w:t>
            </w:r>
            <w:r w:rsidR="001F5F22">
              <w:rPr>
                <w:color w:val="000000"/>
              </w:rPr>
              <w:t xml:space="preserve">        </w:t>
            </w:r>
            <w:r w:rsidRPr="00475A1D">
              <w:rPr>
                <w:color w:val="000000"/>
              </w:rPr>
              <w:t>/TTr-</w:t>
            </w:r>
            <w:r w:rsidR="005256B1">
              <w:rPr>
                <w:color w:val="000000"/>
              </w:rPr>
              <w:t>HUD3</w:t>
            </w:r>
          </w:p>
        </w:tc>
        <w:tc>
          <w:tcPr>
            <w:tcW w:w="5033" w:type="dxa"/>
          </w:tcPr>
          <w:p w:rsidR="008F537B" w:rsidRPr="00EA6F02" w:rsidRDefault="008F537B" w:rsidP="00403B12">
            <w:pPr>
              <w:pStyle w:val="Heading1"/>
              <w:jc w:val="center"/>
              <w:rPr>
                <w:rFonts w:ascii="Times New Roman" w:hAnsi="Times New Roman"/>
                <w:b w:val="0"/>
                <w:bCs/>
                <w:i/>
                <w:iCs/>
              </w:rPr>
            </w:pPr>
            <w:r>
              <w:rPr>
                <w:rFonts w:ascii="Times New Roman" w:hAnsi="Times New Roman"/>
                <w:b w:val="0"/>
                <w:bCs/>
                <w:i/>
                <w:iCs/>
              </w:rPr>
              <w:t>Hà Nội</w:t>
            </w:r>
            <w:r w:rsidRPr="00EA6F02">
              <w:rPr>
                <w:rFonts w:ascii="Times New Roman" w:hAnsi="Times New Roman"/>
                <w:b w:val="0"/>
                <w:bCs/>
                <w:i/>
                <w:iCs/>
              </w:rPr>
              <w:t xml:space="preserve">, ngày </w:t>
            </w:r>
            <w:r w:rsidR="0073467B">
              <w:rPr>
                <w:rFonts w:ascii="Times New Roman" w:hAnsi="Times New Roman"/>
                <w:b w:val="0"/>
                <w:bCs/>
                <w:i/>
                <w:iCs/>
              </w:rPr>
              <w:t xml:space="preserve">    </w:t>
            </w:r>
            <w:r w:rsidRPr="00EA6F02">
              <w:rPr>
                <w:rFonts w:ascii="Times New Roman" w:hAnsi="Times New Roman"/>
                <w:b w:val="0"/>
                <w:bCs/>
                <w:i/>
                <w:iCs/>
              </w:rPr>
              <w:t xml:space="preserve"> tháng</w:t>
            </w:r>
            <w:r w:rsidR="0073467B">
              <w:rPr>
                <w:rFonts w:ascii="Times New Roman" w:hAnsi="Times New Roman"/>
                <w:b w:val="0"/>
                <w:bCs/>
                <w:i/>
                <w:iCs/>
              </w:rPr>
              <w:t xml:space="preserve"> </w:t>
            </w:r>
            <w:r w:rsidR="00403B12">
              <w:rPr>
                <w:rFonts w:ascii="Times New Roman" w:hAnsi="Times New Roman"/>
                <w:b w:val="0"/>
                <w:bCs/>
                <w:i/>
                <w:iCs/>
              </w:rPr>
              <w:t>03</w:t>
            </w:r>
            <w:r w:rsidRPr="00EA6F02">
              <w:rPr>
                <w:rFonts w:ascii="Times New Roman" w:hAnsi="Times New Roman"/>
                <w:b w:val="0"/>
                <w:bCs/>
                <w:i/>
                <w:iCs/>
              </w:rPr>
              <w:t xml:space="preserve"> năm 20</w:t>
            </w:r>
            <w:r>
              <w:rPr>
                <w:rFonts w:ascii="Times New Roman" w:hAnsi="Times New Roman"/>
                <w:b w:val="0"/>
                <w:bCs/>
                <w:i/>
                <w:iCs/>
              </w:rPr>
              <w:t>2</w:t>
            </w:r>
            <w:r w:rsidR="00D87B69">
              <w:rPr>
                <w:rFonts w:ascii="Times New Roman" w:hAnsi="Times New Roman"/>
                <w:b w:val="0"/>
                <w:bCs/>
                <w:i/>
                <w:iCs/>
              </w:rPr>
              <w:t>2</w:t>
            </w:r>
          </w:p>
        </w:tc>
      </w:tr>
    </w:tbl>
    <w:p w:rsidR="00682A85" w:rsidRDefault="00682A85" w:rsidP="00507332">
      <w:pPr>
        <w:pStyle w:val="Heading1"/>
        <w:jc w:val="center"/>
        <w:rPr>
          <w:rFonts w:ascii="Times New Roman" w:hAnsi="Times New Roman"/>
          <w:sz w:val="32"/>
          <w:szCs w:val="32"/>
        </w:rPr>
      </w:pPr>
    </w:p>
    <w:p w:rsidR="008F537B" w:rsidRPr="00954E03" w:rsidRDefault="008F537B" w:rsidP="00CA078B">
      <w:pPr>
        <w:pStyle w:val="Heading1"/>
        <w:spacing w:before="120" w:after="120"/>
        <w:jc w:val="center"/>
        <w:rPr>
          <w:rFonts w:ascii="Times New Roman" w:hAnsi="Times New Roman"/>
          <w:sz w:val="32"/>
          <w:szCs w:val="32"/>
        </w:rPr>
      </w:pPr>
      <w:r w:rsidRPr="00954E03">
        <w:rPr>
          <w:rFonts w:ascii="Times New Roman" w:hAnsi="Times New Roman"/>
          <w:sz w:val="32"/>
          <w:szCs w:val="32"/>
        </w:rPr>
        <w:t xml:space="preserve">TỜ TRÌNH </w:t>
      </w:r>
    </w:p>
    <w:p w:rsidR="00D01398" w:rsidRDefault="008F537B" w:rsidP="00CA078B">
      <w:pPr>
        <w:pStyle w:val="Heading5"/>
        <w:spacing w:before="120" w:after="120"/>
        <w:jc w:val="center"/>
        <w:rPr>
          <w:i w:val="0"/>
        </w:rPr>
      </w:pPr>
      <w:r w:rsidRPr="00954E03">
        <w:rPr>
          <w:i w:val="0"/>
        </w:rPr>
        <w:t xml:space="preserve">V/v </w:t>
      </w:r>
      <w:r>
        <w:rPr>
          <w:i w:val="0"/>
        </w:rPr>
        <w:t xml:space="preserve">đề xuất </w:t>
      </w:r>
      <w:r w:rsidR="00ED6550">
        <w:rPr>
          <w:i w:val="0"/>
        </w:rPr>
        <w:t>thông qua</w:t>
      </w:r>
      <w:r>
        <w:rPr>
          <w:i w:val="0"/>
        </w:rPr>
        <w:t xml:space="preserve"> </w:t>
      </w:r>
      <w:r w:rsidR="0073467B">
        <w:rPr>
          <w:i w:val="0"/>
        </w:rPr>
        <w:t xml:space="preserve">sửa đổi, bổ sung </w:t>
      </w:r>
      <w:r w:rsidR="00762142">
        <w:rPr>
          <w:i w:val="0"/>
        </w:rPr>
        <w:t xml:space="preserve">Quy chế </w:t>
      </w:r>
      <w:r w:rsidR="0073467B">
        <w:rPr>
          <w:i w:val="0"/>
        </w:rPr>
        <w:t>nội bộ về quản trị Công ty</w:t>
      </w:r>
      <w:r w:rsidR="00D01398">
        <w:rPr>
          <w:i w:val="0"/>
        </w:rPr>
        <w:t xml:space="preserve"> của </w:t>
      </w:r>
    </w:p>
    <w:p w:rsidR="008F537B" w:rsidRPr="00954E03" w:rsidRDefault="00D01398" w:rsidP="00CA078B">
      <w:pPr>
        <w:pStyle w:val="Heading5"/>
        <w:spacing w:before="120" w:after="120"/>
        <w:jc w:val="center"/>
        <w:rPr>
          <w:i w:val="0"/>
        </w:rPr>
      </w:pPr>
      <w:r>
        <w:rPr>
          <w:i w:val="0"/>
        </w:rPr>
        <w:t>Công ty cổ phần Đầu tư và Xây dựng HUD3</w:t>
      </w:r>
    </w:p>
    <w:p w:rsidR="008F537B" w:rsidRDefault="008F537B" w:rsidP="00CA078B">
      <w:pPr>
        <w:pStyle w:val="BodyTextIndent"/>
        <w:spacing w:before="120" w:after="120" w:line="240" w:lineRule="auto"/>
        <w:ind w:firstLine="0"/>
        <w:jc w:val="center"/>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61312" behindDoc="0" locked="0" layoutInCell="1" allowOverlap="1">
                <wp:simplePos x="0" y="0"/>
                <wp:positionH relativeFrom="column">
                  <wp:posOffset>2026920</wp:posOffset>
                </wp:positionH>
                <wp:positionV relativeFrom="paragraph">
                  <wp:posOffset>43180</wp:posOffset>
                </wp:positionV>
                <wp:extent cx="1943100" cy="0"/>
                <wp:effectExtent l="11430"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38C5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4pt" to="312.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"/>
            </w:pict>
          </mc:Fallback>
        </mc:AlternateContent>
      </w:r>
    </w:p>
    <w:p w:rsidR="008F537B" w:rsidRPr="00ED6550" w:rsidRDefault="008F537B" w:rsidP="00CA078B">
      <w:pPr>
        <w:pStyle w:val="BodyTextIndent"/>
        <w:spacing w:before="120" w:after="120" w:line="240" w:lineRule="auto"/>
        <w:rPr>
          <w:rFonts w:ascii="Times New Roman" w:hAnsi="Times New Roman"/>
          <w:b/>
          <w:bCs/>
          <w:spacing w:val="-16"/>
          <w:sz w:val="26"/>
          <w:szCs w:val="26"/>
        </w:rPr>
      </w:pPr>
      <w:r w:rsidRPr="00ED6550">
        <w:rPr>
          <w:rFonts w:ascii="Times New Roman" w:hAnsi="Times New Roman"/>
          <w:b/>
          <w:bCs/>
          <w:spacing w:val="-16"/>
          <w:sz w:val="26"/>
          <w:szCs w:val="26"/>
        </w:rPr>
        <w:t>Kính gửi</w:t>
      </w:r>
      <w:r w:rsidRPr="00ED6550">
        <w:rPr>
          <w:rFonts w:ascii="Times New Roman" w:hAnsi="Times New Roman"/>
          <w:spacing w:val="-16"/>
          <w:sz w:val="26"/>
          <w:szCs w:val="26"/>
        </w:rPr>
        <w:t xml:space="preserve">: </w:t>
      </w:r>
      <w:r w:rsidRPr="00ED6550">
        <w:rPr>
          <w:rFonts w:ascii="Times New Roman" w:hAnsi="Times New Roman"/>
          <w:b/>
          <w:bCs/>
          <w:spacing w:val="-16"/>
          <w:sz w:val="26"/>
          <w:szCs w:val="26"/>
        </w:rPr>
        <w:t xml:space="preserve">HỘI ĐỒNG THÀNH VIÊN – TỔNG CÔNG TY ĐTPT NHÀ VÀ ĐÔ THỊ </w:t>
      </w:r>
    </w:p>
    <w:p w:rsidR="008F537B" w:rsidRPr="00FD40CF" w:rsidRDefault="008F537B" w:rsidP="00507332">
      <w:pPr>
        <w:pStyle w:val="BodyTextIndent"/>
        <w:spacing w:line="160" w:lineRule="exact"/>
        <w:ind w:firstLine="0"/>
        <w:rPr>
          <w:rFonts w:ascii="Times New Roman" w:hAnsi="Times New Roman"/>
          <w:b/>
          <w:bCs/>
          <w:sz w:val="26"/>
          <w:szCs w:val="26"/>
        </w:rPr>
      </w:pPr>
    </w:p>
    <w:p w:rsidR="008F537B" w:rsidRPr="00FD40CF" w:rsidRDefault="008F537B" w:rsidP="00507332">
      <w:pPr>
        <w:pStyle w:val="BodyTextIndent"/>
        <w:spacing w:before="40" w:after="40" w:line="340" w:lineRule="exact"/>
        <w:rPr>
          <w:rFonts w:ascii="Times New Roman" w:hAnsi="Times New Roman"/>
          <w:sz w:val="26"/>
          <w:szCs w:val="26"/>
        </w:rPr>
      </w:pPr>
      <w:r w:rsidRPr="00FD40CF">
        <w:rPr>
          <w:rFonts w:ascii="Times New Roman" w:hAnsi="Times New Roman"/>
          <w:sz w:val="26"/>
          <w:szCs w:val="26"/>
        </w:rPr>
        <w:t xml:space="preserve">Căn cứ Luật </w:t>
      </w:r>
      <w:bookmarkStart w:id="0" w:name="_GoBack"/>
      <w:bookmarkEnd w:id="0"/>
      <w:r w:rsidRPr="00FD40CF">
        <w:rPr>
          <w:rFonts w:ascii="Times New Roman" w:hAnsi="Times New Roman"/>
          <w:sz w:val="26"/>
          <w:szCs w:val="26"/>
        </w:rPr>
        <w:t>doanh nghiệp 20</w:t>
      </w:r>
      <w:r w:rsidR="00AC0DCB" w:rsidRPr="00FD40CF">
        <w:rPr>
          <w:rFonts w:ascii="Times New Roman" w:hAnsi="Times New Roman"/>
          <w:sz w:val="26"/>
          <w:szCs w:val="26"/>
        </w:rPr>
        <w:t>2</w:t>
      </w:r>
      <w:r w:rsidR="00326860" w:rsidRPr="00FD40CF">
        <w:rPr>
          <w:rFonts w:ascii="Times New Roman" w:hAnsi="Times New Roman"/>
          <w:sz w:val="26"/>
          <w:szCs w:val="26"/>
        </w:rPr>
        <w:t>0</w:t>
      </w:r>
      <w:r w:rsidR="00D01398">
        <w:rPr>
          <w:rFonts w:ascii="Times New Roman" w:hAnsi="Times New Roman"/>
          <w:sz w:val="26"/>
          <w:szCs w:val="26"/>
        </w:rPr>
        <w:t xml:space="preserve"> và các văn bản hướng dẫn thi hành</w:t>
      </w:r>
      <w:r w:rsidRPr="00FD40CF">
        <w:rPr>
          <w:rFonts w:ascii="Times New Roman" w:hAnsi="Times New Roman"/>
          <w:sz w:val="26"/>
          <w:szCs w:val="26"/>
        </w:rPr>
        <w:t>;</w:t>
      </w:r>
    </w:p>
    <w:p w:rsidR="00AC0DCB" w:rsidRPr="00FD40CF" w:rsidRDefault="00AC0DCB" w:rsidP="00507332">
      <w:pPr>
        <w:pStyle w:val="BodyTextIndent"/>
        <w:spacing w:before="40" w:after="40" w:line="340" w:lineRule="exact"/>
        <w:rPr>
          <w:rFonts w:ascii="Times New Roman" w:hAnsi="Times New Roman"/>
          <w:sz w:val="26"/>
          <w:szCs w:val="26"/>
        </w:rPr>
      </w:pPr>
      <w:r w:rsidRPr="00FD40CF">
        <w:rPr>
          <w:rFonts w:ascii="Times New Roman" w:hAnsi="Times New Roman"/>
          <w:sz w:val="26"/>
          <w:szCs w:val="26"/>
        </w:rPr>
        <w:t>Căn cứ Luật chứng khoán 2019</w:t>
      </w:r>
      <w:r w:rsidR="00D01398">
        <w:rPr>
          <w:rFonts w:ascii="Times New Roman" w:hAnsi="Times New Roman"/>
          <w:sz w:val="26"/>
          <w:szCs w:val="26"/>
        </w:rPr>
        <w:t xml:space="preserve"> và các văn bản hướng dẫn thi hành</w:t>
      </w:r>
      <w:r w:rsidRPr="00FD40CF">
        <w:rPr>
          <w:rFonts w:ascii="Times New Roman" w:hAnsi="Times New Roman"/>
          <w:sz w:val="26"/>
          <w:szCs w:val="26"/>
        </w:rPr>
        <w:t>;</w:t>
      </w:r>
    </w:p>
    <w:p w:rsidR="00D01398" w:rsidRDefault="008F537B" w:rsidP="00507332">
      <w:pPr>
        <w:spacing w:before="40" w:after="40" w:line="340" w:lineRule="exact"/>
        <w:ind w:firstLine="720"/>
        <w:jc w:val="both"/>
        <w:rPr>
          <w:color w:val="000000"/>
        </w:rPr>
      </w:pPr>
      <w:r w:rsidRPr="00FD40CF">
        <w:rPr>
          <w:color w:val="000000"/>
        </w:rPr>
        <w:t xml:space="preserve">Căn cứ </w:t>
      </w:r>
      <w:r w:rsidR="00D01398">
        <w:rPr>
          <w:color w:val="000000"/>
        </w:rPr>
        <w:t>Điều lệ năm 2021 Công ty cổ phần Đầu tư và Xây dựng HUD3;</w:t>
      </w:r>
    </w:p>
    <w:p w:rsidR="00D01398" w:rsidRDefault="0073467B" w:rsidP="00507332">
      <w:pPr>
        <w:spacing w:before="40" w:after="40" w:line="340" w:lineRule="exact"/>
        <w:ind w:firstLine="720"/>
        <w:jc w:val="both"/>
        <w:rPr>
          <w:color w:val="000000"/>
        </w:rPr>
      </w:pPr>
      <w:r>
        <w:rPr>
          <w:color w:val="000000"/>
        </w:rPr>
        <w:t xml:space="preserve"> </w:t>
      </w:r>
      <w:r w:rsidR="0019434B">
        <w:rPr>
          <w:color w:val="000000"/>
        </w:rPr>
        <w:t xml:space="preserve">Căn cứ Quy định số 588-QĐ/ĐU, ngày 28/12/2021 của Đảng ủy Tổng Công ty </w:t>
      </w:r>
      <w:r w:rsidR="00507332">
        <w:rPr>
          <w:color w:val="000000"/>
        </w:rPr>
        <w:t>ĐTPT</w:t>
      </w:r>
      <w:r w:rsidR="0019434B">
        <w:rPr>
          <w:color w:val="000000"/>
        </w:rPr>
        <w:t xml:space="preserve"> nhà và đô thị về công tác cán bộ tại Tổng công ty đầu tư phát triển nhà và đô thị;</w:t>
      </w:r>
    </w:p>
    <w:p w:rsidR="0073467B" w:rsidRPr="00507332" w:rsidRDefault="0073467B" w:rsidP="00507332">
      <w:pPr>
        <w:spacing w:before="40" w:after="40" w:line="340" w:lineRule="exact"/>
        <w:ind w:firstLine="720"/>
        <w:jc w:val="both"/>
        <w:rPr>
          <w:spacing w:val="-4"/>
        </w:rPr>
      </w:pPr>
      <w:r w:rsidRPr="00507332">
        <w:rPr>
          <w:spacing w:val="-4"/>
        </w:rPr>
        <w:t>Công</w:t>
      </w:r>
      <w:r w:rsidR="00750043" w:rsidRPr="00507332">
        <w:rPr>
          <w:spacing w:val="-4"/>
        </w:rPr>
        <w:t xml:space="preserve"> ty HUD3 đề xuất sửa đổi, bổ sung một số </w:t>
      </w:r>
      <w:r w:rsidR="00134546" w:rsidRPr="00507332">
        <w:rPr>
          <w:spacing w:val="-4"/>
        </w:rPr>
        <w:t>đ</w:t>
      </w:r>
      <w:r w:rsidR="00750043" w:rsidRPr="00507332">
        <w:rPr>
          <w:spacing w:val="-4"/>
        </w:rPr>
        <w:t xml:space="preserve">iều của Quy chế nội bộ vệ quản trị Công ty </w:t>
      </w:r>
      <w:r w:rsidRPr="00507332">
        <w:rPr>
          <w:spacing w:val="-4"/>
        </w:rPr>
        <w:t>để phù hợp với mô hình hoạt động</w:t>
      </w:r>
      <w:r w:rsidR="00750043" w:rsidRPr="00507332">
        <w:rPr>
          <w:spacing w:val="-4"/>
        </w:rPr>
        <w:t>,</w:t>
      </w:r>
      <w:r w:rsidRPr="00507332">
        <w:rPr>
          <w:spacing w:val="-4"/>
        </w:rPr>
        <w:t xml:space="preserve"> đáp ứng nhu cầu hoạt động </w:t>
      </w:r>
      <w:r w:rsidR="00750043" w:rsidRPr="00507332">
        <w:rPr>
          <w:spacing w:val="-4"/>
        </w:rPr>
        <w:t xml:space="preserve">sản xuất kinh doanh của công ty và tuân thủ các quy định về công tác cán bộ của Tổng công ty HUD </w:t>
      </w:r>
      <w:r w:rsidRPr="00507332">
        <w:rPr>
          <w:spacing w:val="-4"/>
        </w:rPr>
        <w:t>cụ thể:</w:t>
      </w:r>
    </w:p>
    <w:p w:rsidR="0073467B" w:rsidRPr="00640CEB" w:rsidRDefault="0073467B" w:rsidP="00507332">
      <w:pPr>
        <w:spacing w:before="40" w:after="40" w:line="340" w:lineRule="exact"/>
        <w:ind w:firstLine="720"/>
        <w:jc w:val="both"/>
      </w:pPr>
      <w:r w:rsidRPr="00640CEB">
        <w:t>1. Sửa đổi Điều 40</w:t>
      </w:r>
      <w:r w:rsidR="00B767D3" w:rsidRPr="00640CEB">
        <w:t xml:space="preserve"> quy định về</w:t>
      </w:r>
      <w:r w:rsidRPr="00640CEB">
        <w:t xml:space="preserve"> </w:t>
      </w:r>
      <w:r w:rsidR="00B767D3" w:rsidRPr="00640CEB">
        <w:t>b</w:t>
      </w:r>
      <w:r w:rsidRPr="00640CEB">
        <w:t>ổ nhiệm người điều hành doanh nghiệp, cán bộ quản lý như sau:</w:t>
      </w:r>
    </w:p>
    <w:p w:rsidR="00507332" w:rsidRPr="00640CEB" w:rsidRDefault="00750043" w:rsidP="00507332">
      <w:pPr>
        <w:spacing w:before="40" w:after="40" w:line="340" w:lineRule="exact"/>
        <w:ind w:firstLine="720"/>
        <w:jc w:val="both"/>
        <w:rPr>
          <w:i/>
        </w:rPr>
      </w:pPr>
      <w:r w:rsidRPr="00640CEB">
        <w:rPr>
          <w:i/>
        </w:rPr>
        <w:t xml:space="preserve">1.1. </w:t>
      </w:r>
      <w:r w:rsidR="00507332" w:rsidRPr="00640CEB">
        <w:rPr>
          <w:i/>
        </w:rPr>
        <w:t>Đối với công tác bổ nhiệm</w:t>
      </w:r>
      <w:r w:rsidR="00507332">
        <w:rPr>
          <w:i/>
        </w:rPr>
        <w:t>, miễn nhiệm, cách chức</w:t>
      </w:r>
      <w:r w:rsidR="00507332" w:rsidRPr="00640CEB">
        <w:rPr>
          <w:i/>
        </w:rPr>
        <w:t xml:space="preserve"> các chức danh do Tổng Công ty quản lý và các chức danh trưởng, phó phòng, ban chức năng trong công ty</w:t>
      </w:r>
      <w:r w:rsidR="00507332">
        <w:rPr>
          <w:i/>
        </w:rPr>
        <w:t xml:space="preserve"> quy định tại Điều 40, Điều 42, Điều 43</w:t>
      </w:r>
      <w:r w:rsidR="00507332" w:rsidRPr="00640CEB">
        <w:rPr>
          <w:i/>
        </w:rPr>
        <w:t>:</w:t>
      </w:r>
    </w:p>
    <w:p w:rsidR="00507332" w:rsidRDefault="00507332" w:rsidP="00507332">
      <w:pPr>
        <w:spacing w:before="40" w:after="40" w:line="340" w:lineRule="exact"/>
        <w:ind w:firstLine="720"/>
        <w:jc w:val="both"/>
        <w:rPr>
          <w:spacing w:val="-2"/>
        </w:rPr>
      </w:pPr>
      <w:r w:rsidRPr="00B767D3">
        <w:rPr>
          <w:spacing w:val="-2"/>
        </w:rPr>
        <w:t>- Dẫn chiếu quy trình bổ nhiệm cán bộ quy định tại Quy định số 04-QĐ/ĐU ngày 31/12/2021 của BCH Đảng bộ Công ty HUD3 về công tác cán bộ tại Công ty cổ phần đầu tư và Xây dựng HUD3 nhằm đảm bảo sự thống nhất giữa các văn bản quản trị công ty.</w:t>
      </w:r>
    </w:p>
    <w:p w:rsidR="00507332" w:rsidRDefault="00507332" w:rsidP="00507332">
      <w:pPr>
        <w:spacing w:before="40" w:after="40" w:line="340" w:lineRule="exact"/>
        <w:ind w:firstLine="720"/>
        <w:jc w:val="both"/>
        <w:rPr>
          <w:spacing w:val="-2"/>
        </w:rPr>
      </w:pPr>
      <w:r>
        <w:rPr>
          <w:spacing w:val="-2"/>
        </w:rPr>
        <w:t xml:space="preserve">- Quy định danh mục hồ sơ bổ nhiệm, bổ nhiệm lại, kéo dài thời gian giữ chức vụ </w:t>
      </w:r>
      <w:proofErr w:type="gramStart"/>
      <w:r>
        <w:rPr>
          <w:spacing w:val="-2"/>
        </w:rPr>
        <w:t>theo</w:t>
      </w:r>
      <w:proofErr w:type="gramEnd"/>
      <w:r>
        <w:rPr>
          <w:spacing w:val="-2"/>
        </w:rPr>
        <w:t xml:space="preserve"> Quy định số 04-QĐ/ĐU.</w:t>
      </w:r>
    </w:p>
    <w:p w:rsidR="00507332" w:rsidRDefault="00507332" w:rsidP="00507332">
      <w:pPr>
        <w:spacing w:before="40" w:after="40" w:line="340" w:lineRule="exact"/>
        <w:ind w:firstLine="720"/>
        <w:jc w:val="both"/>
        <w:rPr>
          <w:spacing w:val="-2"/>
        </w:rPr>
      </w:pPr>
      <w:r>
        <w:rPr>
          <w:spacing w:val="-2"/>
        </w:rPr>
        <w:t>- Thay đổi thẩm quyền phê duyệt quyết định bổ nhiệm, miễn nhiệm các chức danh trưởng, phó các phòng ban chức năng trong công ty từ Chủ tịch Hội đồng quản trị thành Hội đồng quản trị có thẩm quyền.</w:t>
      </w:r>
    </w:p>
    <w:p w:rsidR="00640CEB" w:rsidRDefault="00507332" w:rsidP="00507332">
      <w:pPr>
        <w:spacing w:before="40" w:after="40" w:line="340" w:lineRule="exact"/>
        <w:ind w:firstLine="720"/>
        <w:jc w:val="both"/>
      </w:pPr>
      <w:r>
        <w:t xml:space="preserve"> </w:t>
      </w:r>
      <w:r w:rsidR="00640CEB">
        <w:t xml:space="preserve">(Chi tiết xem bảng so sánh quy chế nội bộ về quản trị công ty hiện tại và dự thảo đính kèm văn bản này). </w:t>
      </w:r>
    </w:p>
    <w:p w:rsidR="001B6069" w:rsidRPr="00640CEB" w:rsidRDefault="001B6069" w:rsidP="00507332">
      <w:pPr>
        <w:spacing w:before="40" w:after="40" w:line="340" w:lineRule="exact"/>
        <w:ind w:firstLine="720"/>
        <w:jc w:val="both"/>
        <w:rPr>
          <w:i/>
          <w:spacing w:val="-2"/>
        </w:rPr>
      </w:pPr>
      <w:r w:rsidRPr="00640CEB">
        <w:rPr>
          <w:i/>
          <w:spacing w:val="-2"/>
        </w:rPr>
        <w:t>1.2. Đối với công tác bổ nhiệm chỉ huy trưởng, chỉ huy phó các ban chỉ huy công trình và trưởng, phó các BQLD thành phần</w:t>
      </w:r>
    </w:p>
    <w:p w:rsidR="00DE10C2" w:rsidRDefault="00134546" w:rsidP="00507332">
      <w:pPr>
        <w:spacing w:before="40" w:after="40" w:line="340" w:lineRule="exact"/>
        <w:ind w:firstLine="720"/>
        <w:jc w:val="both"/>
      </w:pPr>
      <w:r>
        <w:t>Về cơ cấu tổ chức</w:t>
      </w:r>
      <w:r w:rsidR="00DE10C2">
        <w:t xml:space="preserve"> các ban chỉ huy công trình </w:t>
      </w:r>
      <w:r>
        <w:t xml:space="preserve">là bộ phận </w:t>
      </w:r>
      <w:r w:rsidR="00DE10C2">
        <w:t xml:space="preserve">trực thuộc Ban thi công xây lắp của Công ty, Ban quản lý dự án thành phần trực thuộc BQLDA, tức tương đương với tổ, đội, nhóm trong 1 phòng, ban. Chất lượng công việc của ban chỉ huy công trình, Ban quản lý dự </w:t>
      </w:r>
      <w:proofErr w:type="gramStart"/>
      <w:r w:rsidR="00DE10C2">
        <w:t>án</w:t>
      </w:r>
      <w:proofErr w:type="gramEnd"/>
      <w:r w:rsidR="00DE10C2">
        <w:t xml:space="preserve"> thành phần đã được các phòng, ban chuyên môn trong Công ty giám sát, chỉ đạo. Hơn nữa một số Ban chỉ huy công trình chỉ tồn tại trong một thời gian ngắn.</w:t>
      </w:r>
    </w:p>
    <w:p w:rsidR="00DE10C2" w:rsidRDefault="00DE10C2" w:rsidP="00907E81">
      <w:pPr>
        <w:spacing w:before="60" w:after="60" w:line="360" w:lineRule="exact"/>
        <w:ind w:firstLine="720"/>
        <w:jc w:val="both"/>
      </w:pPr>
      <w:r>
        <w:lastRenderedPageBreak/>
        <w:t xml:space="preserve">Do vậy dự thảo sửa đổi </w:t>
      </w:r>
      <w:r w:rsidR="00105B53">
        <w:t>thủ tục</w:t>
      </w:r>
      <w:r>
        <w:t xml:space="preserve"> bổ nhiệm các chức danh chỉ huy trưởng, chỉ huy phó các ban chỉ huy công trình, trưởng ban, phó ban các BQLDA thành phần </w:t>
      </w:r>
      <w:r w:rsidR="00105B53">
        <w:t>để đảm bảo tính linh hoạt, chủ động trong công tác điều hành sản xuất kinh doanh, mặt khác vẫn đảm bảo được sự kiểm soát chất lượng công việc</w:t>
      </w:r>
      <w:r>
        <w:t xml:space="preserve">.  </w:t>
      </w:r>
    </w:p>
    <w:p w:rsidR="00DE10C2" w:rsidRDefault="00DE10C2" w:rsidP="00907E81">
      <w:pPr>
        <w:spacing w:before="60" w:after="60" w:line="360" w:lineRule="exact"/>
        <w:ind w:firstLine="720"/>
        <w:jc w:val="both"/>
      </w:pPr>
      <w:r>
        <w:t xml:space="preserve">Quy định Giám đốc Công ty trực tiếp bổ nhiệm các chức danh chỉ huy trưởng, chỉ huy phó các ban chỉ huy công trình, trưởng ban, phó ban các BQLDA thành phần căn cứ trên đề xuất của bộ phận chuyên môn và nhu cầu sản xuất kinh doanh của Công ty </w:t>
      </w:r>
      <w:r w:rsidR="00105B53">
        <w:t xml:space="preserve">là </w:t>
      </w:r>
      <w:r>
        <w:t>phù hợp với mô hình tổ chức của công ty và tì</w:t>
      </w:r>
      <w:r w:rsidR="00105B53">
        <w:t>nh hình sản xuất của công ty</w:t>
      </w:r>
      <w:r w:rsidR="00A609C9">
        <w:t xml:space="preserve">. </w:t>
      </w:r>
    </w:p>
    <w:p w:rsidR="00640CEB" w:rsidRDefault="00DE10C2" w:rsidP="00907E81">
      <w:pPr>
        <w:spacing w:before="60" w:after="60" w:line="360" w:lineRule="exact"/>
        <w:ind w:firstLine="720"/>
        <w:jc w:val="both"/>
      </w:pPr>
      <w:r>
        <w:t xml:space="preserve"> </w:t>
      </w:r>
      <w:r w:rsidR="00640CEB">
        <w:t xml:space="preserve">(Chi tiết xem bảng so sánh quy chế nội bộ về quản trị công ty hiện tại và dự thảo đính kèm văn bản này). </w:t>
      </w:r>
    </w:p>
    <w:p w:rsidR="00421AAB" w:rsidRPr="00373DD2" w:rsidRDefault="001B6069" w:rsidP="00907E81">
      <w:pPr>
        <w:spacing w:before="60" w:after="60" w:line="360" w:lineRule="exact"/>
        <w:ind w:firstLine="720"/>
        <w:jc w:val="both"/>
        <w:rPr>
          <w:i/>
          <w:spacing w:val="-2"/>
        </w:rPr>
      </w:pPr>
      <w:r w:rsidRPr="00640CEB">
        <w:rPr>
          <w:i/>
          <w:spacing w:val="-2"/>
        </w:rPr>
        <w:t>1.3</w:t>
      </w:r>
      <w:r w:rsidR="00421AAB" w:rsidRPr="00640CEB">
        <w:rPr>
          <w:i/>
          <w:spacing w:val="-2"/>
        </w:rPr>
        <w:t>. Sửa đổi điểm l khoản 2 Điều 46</w:t>
      </w:r>
      <w:r w:rsidR="001A7556">
        <w:rPr>
          <w:i/>
          <w:spacing w:val="-2"/>
        </w:rPr>
        <w:t>:</w:t>
      </w:r>
      <w:r w:rsidR="00421AAB" w:rsidRPr="00640CEB">
        <w:rPr>
          <w:i/>
          <w:spacing w:val="-2"/>
        </w:rPr>
        <w:t xml:space="preserve"> </w:t>
      </w:r>
      <w:r w:rsidR="001A7556">
        <w:rPr>
          <w:i/>
          <w:spacing w:val="-2"/>
        </w:rPr>
        <w:t>thay</w:t>
      </w:r>
      <w:r w:rsidR="004B11DF">
        <w:rPr>
          <w:i/>
          <w:spacing w:val="-2"/>
        </w:rPr>
        <w:t xml:space="preserve"> </w:t>
      </w:r>
      <w:r w:rsidR="00373DD2" w:rsidRPr="00373DD2">
        <w:rPr>
          <w:i/>
          <w:spacing w:val="-2"/>
        </w:rPr>
        <w:t xml:space="preserve">thẩm quyền phê duyệt quyết định bổ nhiệm các chức danh quản lý </w:t>
      </w:r>
      <w:r w:rsidR="004B11DF">
        <w:rPr>
          <w:i/>
          <w:spacing w:val="-2"/>
        </w:rPr>
        <w:t xml:space="preserve">của Chủ tịch HĐQT thành </w:t>
      </w:r>
      <w:r w:rsidR="00373DD2" w:rsidRPr="00373DD2">
        <w:rPr>
          <w:i/>
          <w:spacing w:val="-2"/>
        </w:rPr>
        <w:t>HĐQT</w:t>
      </w:r>
      <w:r w:rsidR="001A7556">
        <w:rPr>
          <w:i/>
          <w:spacing w:val="-2"/>
        </w:rPr>
        <w:t xml:space="preserve"> và bỏ quy định Giám đốc phải xin ý kiến cấp trên khi bổ nhiệm Chỉ huy trưởng, Chỉ huy phó, Trưởng, Phó ban quản lý dự án thành phần</w:t>
      </w:r>
      <w:r w:rsidR="00373DD2" w:rsidRPr="00373DD2">
        <w:rPr>
          <w:i/>
          <w:spacing w:val="-2"/>
        </w:rPr>
        <w:t>.</w:t>
      </w:r>
    </w:p>
    <w:p w:rsidR="00640CEB" w:rsidRDefault="00640CEB" w:rsidP="00907E81">
      <w:pPr>
        <w:spacing w:before="60" w:after="60" w:line="360" w:lineRule="exact"/>
        <w:ind w:firstLine="720"/>
        <w:jc w:val="both"/>
      </w:pPr>
      <w:r>
        <w:t xml:space="preserve">(Chi tiết xem bảng so sánh quy chế nội bộ về quản trị công ty hiện tại và dự thảo đính kèm văn bản này). </w:t>
      </w:r>
    </w:p>
    <w:p w:rsidR="001A7556" w:rsidRDefault="00373DD2" w:rsidP="00907E81">
      <w:pPr>
        <w:tabs>
          <w:tab w:val="left" w:pos="709"/>
          <w:tab w:val="left" w:pos="1134"/>
        </w:tabs>
        <w:spacing w:before="60" w:after="60" w:line="360" w:lineRule="exact"/>
        <w:jc w:val="both"/>
      </w:pPr>
      <w:r>
        <w:tab/>
      </w:r>
      <w:r w:rsidR="00421AAB">
        <w:t xml:space="preserve">2. </w:t>
      </w:r>
      <w:r w:rsidR="001A7556">
        <w:t>Bổ sung loại hợp đồng, giao dịch thuộc thẩm quyền của HĐQT “</w:t>
      </w:r>
      <w:r w:rsidR="001A7556" w:rsidRPr="000C6944">
        <w:rPr>
          <w:bCs/>
          <w:sz w:val="24"/>
          <w:szCs w:val="24"/>
          <w:lang w:val="it-IT"/>
        </w:rPr>
        <w:t>Các trường hợp khác được quy định tại Quy ch</w:t>
      </w:r>
      <w:r w:rsidR="001A7556">
        <w:rPr>
          <w:bCs/>
          <w:sz w:val="24"/>
          <w:szCs w:val="24"/>
          <w:lang w:val="it-IT"/>
        </w:rPr>
        <w:t>ế quản lý tài chính của Công ty” để bảo đảm sự thống nhất giữa các văn bản trong Công ty.</w:t>
      </w:r>
    </w:p>
    <w:p w:rsidR="00373DD2" w:rsidRPr="00373DD2" w:rsidRDefault="001A7556" w:rsidP="00907E81">
      <w:pPr>
        <w:tabs>
          <w:tab w:val="left" w:pos="709"/>
          <w:tab w:val="left" w:pos="1134"/>
        </w:tabs>
        <w:spacing w:before="60" w:after="60" w:line="360" w:lineRule="exact"/>
        <w:jc w:val="both"/>
      </w:pPr>
      <w:r>
        <w:tab/>
        <w:t xml:space="preserve">3. </w:t>
      </w:r>
      <w:r w:rsidR="00C93051">
        <w:t>Xóa Đ</w:t>
      </w:r>
      <w:r w:rsidR="00373DD2">
        <w:t xml:space="preserve">iều 47 </w:t>
      </w:r>
      <w:r w:rsidR="00373DD2" w:rsidRPr="00373DD2">
        <w:t xml:space="preserve">vì </w:t>
      </w:r>
      <w:r>
        <w:t>sau khi sửa đổi, bổ sung, Điều 46 đã bao hàm cả Điều 47</w:t>
      </w:r>
      <w:r w:rsidR="00373DD2" w:rsidRPr="00373DD2">
        <w:t xml:space="preserve">. </w:t>
      </w:r>
    </w:p>
    <w:p w:rsidR="00520E0C" w:rsidRPr="00D4422D" w:rsidRDefault="00421AAB" w:rsidP="00907E81">
      <w:pPr>
        <w:spacing w:before="60" w:after="60" w:line="360" w:lineRule="exact"/>
        <w:ind w:firstLine="720"/>
        <w:jc w:val="both"/>
      </w:pPr>
      <w:r>
        <w:t xml:space="preserve"> </w:t>
      </w:r>
      <w:r w:rsidR="00596E45">
        <w:t>Vì vậy n</w:t>
      </w:r>
      <w:r w:rsidR="008F537B" w:rsidRPr="00FD40CF">
        <w:t>gười đại diện vốn của Tổng công ty tại Công ty</w:t>
      </w:r>
      <w:r w:rsidR="00E33097" w:rsidRPr="00FD40CF">
        <w:t xml:space="preserve"> </w:t>
      </w:r>
      <w:r w:rsidR="008F537B" w:rsidRPr="00FD40CF">
        <w:t>HUD3 xin kính trình Hội đồng thành viên Tổng công ty</w:t>
      </w:r>
      <w:r w:rsidR="008F537B" w:rsidRPr="00FD40CF">
        <w:rPr>
          <w:b/>
          <w:i/>
        </w:rPr>
        <w:t xml:space="preserve"> </w:t>
      </w:r>
      <w:r w:rsidR="008F537B" w:rsidRPr="00FD40CF">
        <w:t>dự thảo</w:t>
      </w:r>
      <w:r w:rsidR="0022117E">
        <w:t xml:space="preserve"> sửa đổi, bổ sung</w:t>
      </w:r>
      <w:r w:rsidR="008F537B" w:rsidRPr="00FD40CF">
        <w:t xml:space="preserve"> </w:t>
      </w:r>
      <w:r w:rsidR="00762142" w:rsidRPr="00FD40CF">
        <w:t xml:space="preserve">Quy chế </w:t>
      </w:r>
      <w:r w:rsidR="0022117E">
        <w:t>nội bộ về quản trị Công ty</w:t>
      </w:r>
      <w:r w:rsidR="00D01398">
        <w:t xml:space="preserve"> của Công ty HUD3</w:t>
      </w:r>
      <w:r w:rsidR="00E33097" w:rsidRPr="00FD40CF">
        <w:t xml:space="preserve">. </w:t>
      </w:r>
    </w:p>
    <w:p w:rsidR="008F537B" w:rsidRPr="00FD40CF" w:rsidRDefault="008F537B" w:rsidP="00907E81">
      <w:pPr>
        <w:pStyle w:val="Heading5"/>
        <w:spacing w:before="60" w:line="360" w:lineRule="exact"/>
        <w:ind w:firstLine="720"/>
        <w:jc w:val="both"/>
        <w:rPr>
          <w:b w:val="0"/>
          <w:i w:val="0"/>
          <w:iCs w:val="0"/>
        </w:rPr>
      </w:pPr>
      <w:r w:rsidRPr="00FD40CF">
        <w:rPr>
          <w:b w:val="0"/>
          <w:i w:val="0"/>
        </w:rPr>
        <w:t xml:space="preserve">Người đại diện vốn của Tổng công ty tại Công ty HUD3 xin kính trình Hội đồng thành viên Tổng công ty Đầu tư Phát triển Nhà và Đô thị xem xét, phê duyệt </w:t>
      </w:r>
      <w:r w:rsidR="00ED6550">
        <w:rPr>
          <w:b w:val="0"/>
          <w:i w:val="0"/>
        </w:rPr>
        <w:t>thông qua</w:t>
      </w:r>
      <w:r w:rsidR="00301EA1" w:rsidRPr="00FD40CF">
        <w:rPr>
          <w:b w:val="0"/>
          <w:i w:val="0"/>
        </w:rPr>
        <w:t xml:space="preserve"> </w:t>
      </w:r>
      <w:r w:rsidR="00D048F7" w:rsidRPr="00D048F7">
        <w:rPr>
          <w:b w:val="0"/>
          <w:i w:val="0"/>
        </w:rPr>
        <w:t xml:space="preserve">sửa đổi, bổ sung Quy chế nội bộ về quản trị Công ty </w:t>
      </w:r>
      <w:r w:rsidRPr="00FD40CF">
        <w:rPr>
          <w:b w:val="0"/>
          <w:i w:val="0"/>
        </w:rPr>
        <w:t xml:space="preserve">của Công ty HUD3 </w:t>
      </w:r>
      <w:proofErr w:type="gramStart"/>
      <w:r w:rsidRPr="00FD40CF">
        <w:rPr>
          <w:b w:val="0"/>
          <w:i w:val="0"/>
        </w:rPr>
        <w:t>theo</w:t>
      </w:r>
      <w:proofErr w:type="gramEnd"/>
      <w:r w:rsidRPr="00FD40CF">
        <w:rPr>
          <w:b w:val="0"/>
          <w:i w:val="0"/>
        </w:rPr>
        <w:t xml:space="preserve"> nội dung trên. </w:t>
      </w:r>
    </w:p>
    <w:p w:rsidR="008F537B" w:rsidRPr="00A97EC0" w:rsidRDefault="008F537B" w:rsidP="00F01FD6">
      <w:pPr>
        <w:pStyle w:val="BodyText"/>
        <w:spacing w:before="120" w:after="120" w:line="240" w:lineRule="auto"/>
        <w:ind w:firstLine="720"/>
        <w:rPr>
          <w:rFonts w:ascii="Times New Roman" w:hAnsi="Times New Roman"/>
          <w:b/>
          <w:i/>
          <w:sz w:val="26"/>
          <w:szCs w:val="26"/>
        </w:rPr>
      </w:pPr>
      <w:r w:rsidRPr="00FD40CF">
        <w:rPr>
          <w:rFonts w:ascii="Times New Roman" w:hAnsi="Times New Roman"/>
          <w:b/>
          <w:i/>
          <w:sz w:val="26"/>
          <w:szCs w:val="26"/>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48"/>
        <w:gridCol w:w="222"/>
      </w:tblGrid>
      <w:tr w:rsidR="008F537B" w:rsidRPr="0097134B" w:rsidTr="007F4416">
        <w:tc>
          <w:tcPr>
            <w:tcW w:w="4785" w:type="dxa"/>
          </w:tcPr>
          <w:tbl>
            <w:tblPr>
              <w:tblStyle w:val="TableGrid"/>
              <w:tblpPr w:leftFromText="180" w:rightFromText="180" w:vertAnchor="text" w:horzAnchor="page" w:tblpX="2895" w:tblpY="-253"/>
              <w:tblOverlap w:val="never"/>
              <w:tblW w:w="9072"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1E0" w:firstRow="1" w:lastRow="1" w:firstColumn="1" w:lastColumn="1" w:noHBand="0" w:noVBand="0"/>
            </w:tblPr>
            <w:tblGrid>
              <w:gridCol w:w="3472"/>
              <w:gridCol w:w="5600"/>
            </w:tblGrid>
            <w:tr w:rsidR="008F537B" w:rsidTr="00CA078B">
              <w:tc>
                <w:tcPr>
                  <w:tcW w:w="3472" w:type="dxa"/>
                </w:tcPr>
                <w:p w:rsidR="008F537B" w:rsidRDefault="008F537B" w:rsidP="00CA078B">
                  <w:pPr>
                    <w:spacing w:before="120" w:after="120"/>
                    <w:ind w:left="-110" w:firstLine="110"/>
                    <w:jc w:val="both"/>
                    <w:rPr>
                      <w:sz w:val="24"/>
                    </w:rPr>
                  </w:pPr>
                  <w:r w:rsidRPr="00BA5B0A">
                    <w:rPr>
                      <w:b/>
                      <w:bCs/>
                      <w:sz w:val="22"/>
                      <w:szCs w:val="22"/>
                      <w:u w:val="single"/>
                    </w:rPr>
                    <w:t>Nơi nhận</w:t>
                  </w:r>
                  <w:r w:rsidRPr="00BA5B0A">
                    <w:rPr>
                      <w:b/>
                      <w:bCs/>
                      <w:sz w:val="22"/>
                      <w:szCs w:val="22"/>
                    </w:rPr>
                    <w:t>:</w:t>
                  </w:r>
                  <w:r w:rsidRPr="00BA5B0A">
                    <w:rPr>
                      <w:sz w:val="22"/>
                      <w:szCs w:val="22"/>
                    </w:rPr>
                    <w:t xml:space="preserve"> </w:t>
                  </w:r>
                  <w:r w:rsidRPr="00BA5B0A">
                    <w:rPr>
                      <w:sz w:val="24"/>
                    </w:rPr>
                    <w:tab/>
                  </w:r>
                </w:p>
                <w:p w:rsidR="008F537B" w:rsidRDefault="008F537B" w:rsidP="00CA078B">
                  <w:pPr>
                    <w:spacing w:before="120" w:after="120"/>
                    <w:ind w:left="-110" w:firstLine="110"/>
                    <w:jc w:val="both"/>
                    <w:rPr>
                      <w:sz w:val="22"/>
                      <w:szCs w:val="22"/>
                    </w:rPr>
                  </w:pPr>
                  <w:r w:rsidRPr="00BA5B0A">
                    <w:rPr>
                      <w:sz w:val="22"/>
                      <w:szCs w:val="22"/>
                    </w:rPr>
                    <w:t>-</w:t>
                  </w:r>
                  <w:r>
                    <w:rPr>
                      <w:sz w:val="22"/>
                      <w:szCs w:val="22"/>
                    </w:rPr>
                    <w:t xml:space="preserve"> </w:t>
                  </w:r>
                  <w:r w:rsidRPr="00BA5B0A">
                    <w:rPr>
                      <w:sz w:val="22"/>
                      <w:szCs w:val="22"/>
                    </w:rPr>
                    <w:t>Như kính gửi.</w:t>
                  </w:r>
                </w:p>
                <w:p w:rsidR="008F537B" w:rsidRPr="00BA5B0A" w:rsidRDefault="008F537B" w:rsidP="00CA078B">
                  <w:pPr>
                    <w:spacing w:before="120" w:after="120"/>
                    <w:jc w:val="both"/>
                  </w:pPr>
                  <w:r w:rsidRPr="00BA5B0A">
                    <w:rPr>
                      <w:sz w:val="22"/>
                      <w:szCs w:val="22"/>
                    </w:rPr>
                    <w:t>-</w:t>
                  </w:r>
                  <w:r>
                    <w:rPr>
                      <w:sz w:val="22"/>
                      <w:szCs w:val="22"/>
                    </w:rPr>
                    <w:t xml:space="preserve"> </w:t>
                  </w:r>
                  <w:r w:rsidRPr="00BA5B0A">
                    <w:rPr>
                      <w:sz w:val="22"/>
                      <w:szCs w:val="22"/>
                    </w:rPr>
                    <w:t xml:space="preserve">Lưu </w:t>
                  </w:r>
                  <w:r w:rsidR="00FB2670">
                    <w:rPr>
                      <w:sz w:val="22"/>
                      <w:szCs w:val="22"/>
                    </w:rPr>
                    <w:t>VP.</w:t>
                  </w:r>
                </w:p>
                <w:p w:rsidR="008F537B" w:rsidRDefault="008F537B" w:rsidP="00CA078B">
                  <w:pPr>
                    <w:spacing w:before="120" w:after="120"/>
                    <w:jc w:val="both"/>
                    <w:rPr>
                      <w:b/>
                      <w:bCs/>
                    </w:rPr>
                  </w:pPr>
                </w:p>
              </w:tc>
              <w:tc>
                <w:tcPr>
                  <w:tcW w:w="5600" w:type="dxa"/>
                </w:tcPr>
                <w:p w:rsidR="008F537B" w:rsidRPr="00CA078B" w:rsidRDefault="00907E81" w:rsidP="00CA078B">
                  <w:pPr>
                    <w:spacing w:before="120" w:after="120"/>
                    <w:jc w:val="center"/>
                    <w:rPr>
                      <w:b/>
                      <w:bCs/>
                      <w:sz w:val="24"/>
                    </w:rPr>
                  </w:pPr>
                  <w:r w:rsidRPr="00DF47C4">
                    <w:rPr>
                      <w:b/>
                      <w:bCs/>
                      <w:lang w:val="nl-NL"/>
                    </w:rPr>
                    <w:t>TM. TỔ ĐẠI DIỆN PHẦN VỐN</w:t>
                  </w:r>
                  <w:r w:rsidRPr="00CA078B">
                    <w:rPr>
                      <w:b/>
                      <w:sz w:val="24"/>
                      <w:szCs w:val="28"/>
                    </w:rPr>
                    <w:t xml:space="preserve"> </w:t>
                  </w:r>
                </w:p>
                <w:p w:rsidR="008F537B" w:rsidRDefault="008F537B" w:rsidP="00CA078B">
                  <w:pPr>
                    <w:spacing w:before="120" w:after="120"/>
                    <w:jc w:val="center"/>
                    <w:rPr>
                      <w:b/>
                      <w:bCs/>
                    </w:rPr>
                  </w:pPr>
                </w:p>
                <w:p w:rsidR="008F537B" w:rsidRDefault="008F537B" w:rsidP="00CA078B">
                  <w:pPr>
                    <w:spacing w:before="120" w:after="120"/>
                    <w:rPr>
                      <w:b/>
                      <w:bCs/>
                    </w:rPr>
                  </w:pPr>
                </w:p>
              </w:tc>
            </w:tr>
          </w:tbl>
          <w:p w:rsidR="008F537B" w:rsidRPr="009363F6" w:rsidRDefault="008F537B" w:rsidP="00CA078B">
            <w:pPr>
              <w:spacing w:before="120" w:after="120"/>
              <w:jc w:val="both"/>
              <w:rPr>
                <w:b/>
                <w:bCs/>
              </w:rPr>
            </w:pPr>
          </w:p>
        </w:tc>
        <w:tc>
          <w:tcPr>
            <w:tcW w:w="4786" w:type="dxa"/>
          </w:tcPr>
          <w:p w:rsidR="008F537B" w:rsidRPr="0097134B" w:rsidRDefault="008F537B" w:rsidP="00CA078B">
            <w:pPr>
              <w:spacing w:before="120" w:after="120"/>
              <w:jc w:val="both"/>
              <w:rPr>
                <w:b/>
                <w:bCs/>
              </w:rPr>
            </w:pPr>
          </w:p>
        </w:tc>
      </w:tr>
    </w:tbl>
    <w:p w:rsidR="008F537B" w:rsidRDefault="008F537B" w:rsidP="00CA078B">
      <w:pPr>
        <w:spacing w:before="120" w:after="120"/>
      </w:pPr>
    </w:p>
    <w:p w:rsidR="002051C3" w:rsidRDefault="002051C3" w:rsidP="00CA078B">
      <w:pPr>
        <w:spacing w:before="120" w:after="120"/>
      </w:pPr>
    </w:p>
    <w:sectPr w:rsidR="002051C3" w:rsidSect="00507332">
      <w:footerReference w:type="even" r:id="rId8"/>
      <w:footerReference w:type="default" r:id="rId9"/>
      <w:pgSz w:w="11907" w:h="16840" w:code="9"/>
      <w:pgMar w:top="864" w:right="1138" w:bottom="720"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164" w:rsidRDefault="003C2164">
      <w:r>
        <w:separator/>
      </w:r>
    </w:p>
  </w:endnote>
  <w:endnote w:type="continuationSeparator" w:id="0">
    <w:p w:rsidR="003C2164" w:rsidRDefault="003C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DAD" w:rsidRDefault="00F159FC" w:rsidP="001849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DAD" w:rsidRDefault="003C2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0C" w:rsidRDefault="00520E0C">
    <w:pPr>
      <w:pStyle w:val="Footer"/>
      <w:jc w:val="center"/>
    </w:pPr>
  </w:p>
  <w:p w:rsidR="00520E0C" w:rsidRDefault="00520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164" w:rsidRDefault="003C2164">
      <w:r>
        <w:separator/>
      </w:r>
    </w:p>
  </w:footnote>
  <w:footnote w:type="continuationSeparator" w:id="0">
    <w:p w:rsidR="003C2164" w:rsidRDefault="003C2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614"/>
    <w:multiLevelType w:val="hybridMultilevel"/>
    <w:tmpl w:val="F890584C"/>
    <w:lvl w:ilvl="0" w:tplc="3C04E314">
      <w:start w:val="10"/>
      <w:numFmt w:val="low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16D48BA"/>
    <w:multiLevelType w:val="hybridMultilevel"/>
    <w:tmpl w:val="62EEC288"/>
    <w:lvl w:ilvl="0" w:tplc="E1FAEDAC">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DC41A2B"/>
    <w:multiLevelType w:val="hybridMultilevel"/>
    <w:tmpl w:val="D58C1812"/>
    <w:lvl w:ilvl="0" w:tplc="6060C1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7B"/>
    <w:rsid w:val="00011A2D"/>
    <w:rsid w:val="000156E2"/>
    <w:rsid w:val="00016530"/>
    <w:rsid w:val="00094F17"/>
    <w:rsid w:val="00105B53"/>
    <w:rsid w:val="00134546"/>
    <w:rsid w:val="0019434B"/>
    <w:rsid w:val="001A2C62"/>
    <w:rsid w:val="001A7556"/>
    <w:rsid w:val="001B6069"/>
    <w:rsid w:val="001F5F22"/>
    <w:rsid w:val="002051C3"/>
    <w:rsid w:val="00214643"/>
    <w:rsid w:val="0022117E"/>
    <w:rsid w:val="00223814"/>
    <w:rsid w:val="00253F12"/>
    <w:rsid w:val="00257635"/>
    <w:rsid w:val="00264AE0"/>
    <w:rsid w:val="00282467"/>
    <w:rsid w:val="002C4239"/>
    <w:rsid w:val="00301EA1"/>
    <w:rsid w:val="00326860"/>
    <w:rsid w:val="00335786"/>
    <w:rsid w:val="003500AE"/>
    <w:rsid w:val="00357283"/>
    <w:rsid w:val="00373DD2"/>
    <w:rsid w:val="00384D8D"/>
    <w:rsid w:val="003C2164"/>
    <w:rsid w:val="003D1978"/>
    <w:rsid w:val="003F2763"/>
    <w:rsid w:val="00403B12"/>
    <w:rsid w:val="00411541"/>
    <w:rsid w:val="00421AAB"/>
    <w:rsid w:val="004520FB"/>
    <w:rsid w:val="004B11DF"/>
    <w:rsid w:val="00501EFA"/>
    <w:rsid w:val="00502DF1"/>
    <w:rsid w:val="00507332"/>
    <w:rsid w:val="0051588A"/>
    <w:rsid w:val="00520E0C"/>
    <w:rsid w:val="005256B1"/>
    <w:rsid w:val="00545ED1"/>
    <w:rsid w:val="0057461A"/>
    <w:rsid w:val="00580813"/>
    <w:rsid w:val="00596E45"/>
    <w:rsid w:val="005E2FBD"/>
    <w:rsid w:val="00640CEB"/>
    <w:rsid w:val="0066621B"/>
    <w:rsid w:val="00672245"/>
    <w:rsid w:val="00673EF3"/>
    <w:rsid w:val="00682A85"/>
    <w:rsid w:val="006A6618"/>
    <w:rsid w:val="006B2DEB"/>
    <w:rsid w:val="006C3A7E"/>
    <w:rsid w:val="006E09CC"/>
    <w:rsid w:val="006E5220"/>
    <w:rsid w:val="0073467B"/>
    <w:rsid w:val="00735625"/>
    <w:rsid w:val="00750043"/>
    <w:rsid w:val="00757412"/>
    <w:rsid w:val="00762142"/>
    <w:rsid w:val="007A01FF"/>
    <w:rsid w:val="007A3FE4"/>
    <w:rsid w:val="007E4B0B"/>
    <w:rsid w:val="00825996"/>
    <w:rsid w:val="0084317A"/>
    <w:rsid w:val="00864CC1"/>
    <w:rsid w:val="00876337"/>
    <w:rsid w:val="008A1D61"/>
    <w:rsid w:val="008C0059"/>
    <w:rsid w:val="008C5031"/>
    <w:rsid w:val="008D15F7"/>
    <w:rsid w:val="008D7961"/>
    <w:rsid w:val="008F0ADB"/>
    <w:rsid w:val="008F537B"/>
    <w:rsid w:val="00907E81"/>
    <w:rsid w:val="00943342"/>
    <w:rsid w:val="0094487A"/>
    <w:rsid w:val="0099683B"/>
    <w:rsid w:val="00A472E7"/>
    <w:rsid w:val="00A52A30"/>
    <w:rsid w:val="00A55369"/>
    <w:rsid w:val="00A609C9"/>
    <w:rsid w:val="00A760E6"/>
    <w:rsid w:val="00AC0DCB"/>
    <w:rsid w:val="00AC6254"/>
    <w:rsid w:val="00B767D3"/>
    <w:rsid w:val="00B772FC"/>
    <w:rsid w:val="00BA5A6C"/>
    <w:rsid w:val="00BB1901"/>
    <w:rsid w:val="00BC06DC"/>
    <w:rsid w:val="00BC7D80"/>
    <w:rsid w:val="00C6002D"/>
    <w:rsid w:val="00C64BBA"/>
    <w:rsid w:val="00C730F7"/>
    <w:rsid w:val="00C73281"/>
    <w:rsid w:val="00C93051"/>
    <w:rsid w:val="00C9736D"/>
    <w:rsid w:val="00CA078B"/>
    <w:rsid w:val="00CE3E64"/>
    <w:rsid w:val="00D01398"/>
    <w:rsid w:val="00D048F7"/>
    <w:rsid w:val="00D4422D"/>
    <w:rsid w:val="00D52855"/>
    <w:rsid w:val="00D619E9"/>
    <w:rsid w:val="00D67E79"/>
    <w:rsid w:val="00D87B69"/>
    <w:rsid w:val="00DD0D62"/>
    <w:rsid w:val="00DE10C2"/>
    <w:rsid w:val="00E33097"/>
    <w:rsid w:val="00EA49F8"/>
    <w:rsid w:val="00EB508E"/>
    <w:rsid w:val="00EB6DEC"/>
    <w:rsid w:val="00EC1B23"/>
    <w:rsid w:val="00EC7118"/>
    <w:rsid w:val="00ED6550"/>
    <w:rsid w:val="00ED732D"/>
    <w:rsid w:val="00F01FD6"/>
    <w:rsid w:val="00F159FC"/>
    <w:rsid w:val="00F2241E"/>
    <w:rsid w:val="00F902EC"/>
    <w:rsid w:val="00FB2670"/>
    <w:rsid w:val="00FB7009"/>
    <w:rsid w:val="00FC3BC5"/>
    <w:rsid w:val="00FC6DC7"/>
    <w:rsid w:val="00FD40CF"/>
    <w:rsid w:val="00FD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F851B91-57EE-47F0-8EF5-560AB442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7B"/>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8F537B"/>
    <w:pPr>
      <w:keepNext/>
      <w:outlineLvl w:val="0"/>
    </w:pPr>
    <w:rPr>
      <w:rFonts w:ascii=".VnTime" w:hAnsi=".VnTime"/>
      <w:b/>
      <w:sz w:val="28"/>
      <w:szCs w:val="20"/>
    </w:rPr>
  </w:style>
  <w:style w:type="paragraph" w:styleId="Heading2">
    <w:name w:val="heading 2"/>
    <w:basedOn w:val="Normal"/>
    <w:next w:val="Normal"/>
    <w:link w:val="Heading2Char"/>
    <w:unhideWhenUsed/>
    <w:qFormat/>
    <w:rsid w:val="00D442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4334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8F537B"/>
    <w:pPr>
      <w:spacing w:before="240" w:after="6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37B"/>
    <w:rPr>
      <w:rFonts w:ascii=".VnTime" w:eastAsia="Times New Roman" w:hAnsi=".VnTime" w:cs="Times New Roman"/>
      <w:b/>
      <w:szCs w:val="20"/>
    </w:rPr>
  </w:style>
  <w:style w:type="character" w:customStyle="1" w:styleId="Heading5Char">
    <w:name w:val="Heading 5 Char"/>
    <w:basedOn w:val="DefaultParagraphFont"/>
    <w:link w:val="Heading5"/>
    <w:rsid w:val="008F537B"/>
    <w:rPr>
      <w:rFonts w:eastAsia="Times New Roman" w:cs="Times New Roman"/>
      <w:b/>
      <w:bCs/>
      <w:i/>
      <w:iCs/>
      <w:sz w:val="26"/>
      <w:szCs w:val="26"/>
    </w:rPr>
  </w:style>
  <w:style w:type="paragraph" w:styleId="BodyText2">
    <w:name w:val="Body Text 2"/>
    <w:basedOn w:val="Normal"/>
    <w:link w:val="BodyText2Char"/>
    <w:rsid w:val="008F537B"/>
    <w:pPr>
      <w:jc w:val="both"/>
    </w:pPr>
    <w:rPr>
      <w:rFonts w:ascii=".VnTime" w:hAnsi=".VnTime"/>
      <w:i/>
      <w:sz w:val="28"/>
      <w:szCs w:val="20"/>
    </w:rPr>
  </w:style>
  <w:style w:type="character" w:customStyle="1" w:styleId="BodyText2Char">
    <w:name w:val="Body Text 2 Char"/>
    <w:basedOn w:val="DefaultParagraphFont"/>
    <w:link w:val="BodyText2"/>
    <w:rsid w:val="008F537B"/>
    <w:rPr>
      <w:rFonts w:ascii=".VnTime" w:eastAsia="Times New Roman" w:hAnsi=".VnTime" w:cs="Times New Roman"/>
      <w:i/>
      <w:szCs w:val="20"/>
    </w:rPr>
  </w:style>
  <w:style w:type="paragraph" w:styleId="Footer">
    <w:name w:val="footer"/>
    <w:basedOn w:val="Normal"/>
    <w:link w:val="FooterChar"/>
    <w:uiPriority w:val="99"/>
    <w:rsid w:val="008F537B"/>
    <w:pPr>
      <w:tabs>
        <w:tab w:val="center" w:pos="4320"/>
        <w:tab w:val="right" w:pos="8640"/>
      </w:tabs>
    </w:pPr>
    <w:rPr>
      <w:rFonts w:ascii=".VnTime" w:hAnsi=".VnTime"/>
      <w:sz w:val="24"/>
      <w:szCs w:val="20"/>
    </w:rPr>
  </w:style>
  <w:style w:type="character" w:customStyle="1" w:styleId="FooterChar">
    <w:name w:val="Footer Char"/>
    <w:basedOn w:val="DefaultParagraphFont"/>
    <w:link w:val="Footer"/>
    <w:uiPriority w:val="99"/>
    <w:rsid w:val="008F537B"/>
    <w:rPr>
      <w:rFonts w:ascii=".VnTime" w:eastAsia="Times New Roman" w:hAnsi=".VnTime" w:cs="Times New Roman"/>
      <w:sz w:val="24"/>
      <w:szCs w:val="20"/>
    </w:rPr>
  </w:style>
  <w:style w:type="character" w:styleId="PageNumber">
    <w:name w:val="page number"/>
    <w:basedOn w:val="DefaultParagraphFont"/>
    <w:rsid w:val="008F537B"/>
  </w:style>
  <w:style w:type="paragraph" w:styleId="BodyTextIndent">
    <w:name w:val="Body Text Indent"/>
    <w:basedOn w:val="Normal"/>
    <w:link w:val="BodyTextIndentChar"/>
    <w:rsid w:val="008F537B"/>
    <w:pPr>
      <w:spacing w:line="42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rsid w:val="008F537B"/>
    <w:rPr>
      <w:rFonts w:ascii=".VnTime" w:eastAsia="Times New Roman" w:hAnsi=".VnTime" w:cs="Times New Roman"/>
      <w:szCs w:val="20"/>
    </w:rPr>
  </w:style>
  <w:style w:type="paragraph" w:styleId="BodyText">
    <w:name w:val="Body Text"/>
    <w:basedOn w:val="Normal"/>
    <w:link w:val="BodyTextChar"/>
    <w:rsid w:val="008F537B"/>
    <w:pPr>
      <w:spacing w:line="440" w:lineRule="exact"/>
      <w:jc w:val="both"/>
    </w:pPr>
    <w:rPr>
      <w:rFonts w:ascii=".VnTime" w:hAnsi=".VnTime"/>
      <w:sz w:val="28"/>
      <w:szCs w:val="20"/>
    </w:rPr>
  </w:style>
  <w:style w:type="character" w:customStyle="1" w:styleId="BodyTextChar">
    <w:name w:val="Body Text Char"/>
    <w:basedOn w:val="DefaultParagraphFont"/>
    <w:link w:val="BodyText"/>
    <w:rsid w:val="008F537B"/>
    <w:rPr>
      <w:rFonts w:ascii=".VnTime" w:eastAsia="Times New Roman" w:hAnsi=".VnTime" w:cs="Times New Roman"/>
      <w:szCs w:val="20"/>
    </w:rPr>
  </w:style>
  <w:style w:type="paragraph" w:customStyle="1" w:styleId="DefaultParagraphFontParaCharCharCharCharChar">
    <w:name w:val="Default Paragraph Font Para Char Char Char Char Char"/>
    <w:autoRedefine/>
    <w:rsid w:val="008F537B"/>
    <w:pPr>
      <w:tabs>
        <w:tab w:val="left" w:pos="1152"/>
      </w:tabs>
      <w:spacing w:before="120" w:after="0" w:line="240" w:lineRule="auto"/>
    </w:pPr>
    <w:rPr>
      <w:rFonts w:eastAsia="Times New Roman" w:cs="Times New Roman"/>
      <w:sz w:val="24"/>
      <w:szCs w:val="24"/>
    </w:rPr>
  </w:style>
  <w:style w:type="table" w:styleId="TableGrid">
    <w:name w:val="Table Grid"/>
    <w:basedOn w:val="TableNormal"/>
    <w:rsid w:val="008F537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F537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D619E9"/>
    <w:pPr>
      <w:ind w:left="720"/>
      <w:contextualSpacing/>
    </w:pPr>
  </w:style>
  <w:style w:type="paragraph" w:styleId="BalloonText">
    <w:name w:val="Balloon Text"/>
    <w:basedOn w:val="Normal"/>
    <w:link w:val="BalloonTextChar"/>
    <w:uiPriority w:val="99"/>
    <w:semiHidden/>
    <w:unhideWhenUsed/>
    <w:rsid w:val="00843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17A"/>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943342"/>
    <w:rPr>
      <w:rFonts w:asciiTheme="majorHAnsi" w:eastAsiaTheme="majorEastAsia" w:hAnsiTheme="majorHAnsi" w:cstheme="majorBidi"/>
      <w:color w:val="1F4D78" w:themeColor="accent1" w:themeShade="7F"/>
      <w:sz w:val="24"/>
      <w:szCs w:val="24"/>
    </w:rPr>
  </w:style>
  <w:style w:type="paragraph" w:styleId="NormalWeb">
    <w:name w:val="Normal (Web)"/>
    <w:basedOn w:val="Normal"/>
    <w:unhideWhenUsed/>
    <w:rsid w:val="00943342"/>
    <w:pPr>
      <w:spacing w:before="100" w:beforeAutospacing="1" w:after="100" w:afterAutospacing="1"/>
    </w:pPr>
    <w:rPr>
      <w:sz w:val="24"/>
      <w:szCs w:val="24"/>
    </w:rPr>
  </w:style>
  <w:style w:type="character" w:styleId="CommentReference">
    <w:name w:val="annotation reference"/>
    <w:rsid w:val="002C4239"/>
    <w:rPr>
      <w:sz w:val="16"/>
      <w:szCs w:val="16"/>
    </w:rPr>
  </w:style>
  <w:style w:type="paragraph" w:styleId="CommentText">
    <w:name w:val="annotation text"/>
    <w:basedOn w:val="Normal"/>
    <w:link w:val="CommentTextChar"/>
    <w:rsid w:val="002C4239"/>
    <w:rPr>
      <w:rFonts w:ascii=".VnTime" w:hAnsi=".VnTime"/>
      <w:sz w:val="20"/>
      <w:szCs w:val="20"/>
    </w:rPr>
  </w:style>
  <w:style w:type="character" w:customStyle="1" w:styleId="CommentTextChar">
    <w:name w:val="Comment Text Char"/>
    <w:basedOn w:val="DefaultParagraphFont"/>
    <w:link w:val="CommentText"/>
    <w:rsid w:val="002C4239"/>
    <w:rPr>
      <w:rFonts w:ascii=".VnTime" w:eastAsia="Times New Roman" w:hAnsi=".VnTime" w:cs="Times New Roman"/>
      <w:sz w:val="20"/>
      <w:szCs w:val="20"/>
    </w:rPr>
  </w:style>
  <w:style w:type="character" w:customStyle="1" w:styleId="Heading2Char">
    <w:name w:val="Heading 2 Char"/>
    <w:basedOn w:val="DefaultParagraphFont"/>
    <w:link w:val="Heading2"/>
    <w:rsid w:val="00D4422D"/>
    <w:rPr>
      <w:rFonts w:ascii="Cambria" w:eastAsia="Times New Roman" w:hAnsi="Cambria" w:cs="Times New Roman"/>
      <w:b/>
      <w:bCs/>
      <w:i/>
      <w:iCs/>
      <w:szCs w:val="28"/>
    </w:rPr>
  </w:style>
  <w:style w:type="paragraph" w:styleId="Header">
    <w:name w:val="header"/>
    <w:basedOn w:val="Normal"/>
    <w:link w:val="HeaderChar"/>
    <w:uiPriority w:val="99"/>
    <w:unhideWhenUsed/>
    <w:rsid w:val="00520E0C"/>
    <w:pPr>
      <w:tabs>
        <w:tab w:val="center" w:pos="4680"/>
        <w:tab w:val="right" w:pos="9360"/>
      </w:tabs>
    </w:pPr>
  </w:style>
  <w:style w:type="character" w:customStyle="1" w:styleId="HeaderChar">
    <w:name w:val="Header Char"/>
    <w:basedOn w:val="DefaultParagraphFont"/>
    <w:link w:val="Header"/>
    <w:uiPriority w:val="99"/>
    <w:rsid w:val="00520E0C"/>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3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AD0E-EE13-4BE7-9CAA-5BE75225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2022-03-23T08:16:00Z</cp:lastPrinted>
  <dcterms:created xsi:type="dcterms:W3CDTF">2022-03-23T08:17:00Z</dcterms:created>
  <dcterms:modified xsi:type="dcterms:W3CDTF">2022-03-23T08:17:00Z</dcterms:modified>
</cp:coreProperties>
</file>